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19A1" w14:textId="77777777" w:rsidR="00AF6116" w:rsidRPr="00AF6116" w:rsidRDefault="00AF6116" w:rsidP="00AF6116">
      <w:pPr>
        <w:numPr>
          <w:ilvl w:val="0"/>
          <w:numId w:val="1"/>
        </w:numPr>
      </w:pPr>
      <w:bookmarkStart w:id="0" w:name="_GoBack"/>
      <w:bookmarkEnd w:id="0"/>
      <w:r w:rsidRPr="00AF6116">
        <w:t>Wealth of people in community doing really good work; it happens at times in a vacuum with an inability to roll it out onto a larger venue.</w:t>
      </w:r>
    </w:p>
    <w:p w14:paraId="02AFFFE5" w14:textId="77777777" w:rsidR="00AF6116" w:rsidRPr="00AF6116" w:rsidRDefault="00AF6116" w:rsidP="00AF6116">
      <w:pPr>
        <w:numPr>
          <w:ilvl w:val="0"/>
          <w:numId w:val="1"/>
        </w:numPr>
      </w:pPr>
      <w:r w:rsidRPr="00AF6116">
        <w:t>Re-engage with community partners – a theme noticed at multiple tables.</w:t>
      </w:r>
    </w:p>
    <w:p w14:paraId="34F8B5D4" w14:textId="77777777" w:rsidR="00AF6116" w:rsidRDefault="00AF6116" w:rsidP="00AF6116">
      <w:pPr>
        <w:numPr>
          <w:ilvl w:val="0"/>
          <w:numId w:val="1"/>
        </w:numPr>
      </w:pPr>
      <w:r w:rsidRPr="00AF6116">
        <w:t>Ensure the task force is made of up the diverse and well-informed members of the community.</w:t>
      </w:r>
    </w:p>
    <w:p w14:paraId="4464645A" w14:textId="77777777" w:rsidR="00AF6116" w:rsidRDefault="00AF6116" w:rsidP="00AF6116">
      <w:pPr>
        <w:numPr>
          <w:ilvl w:val="0"/>
          <w:numId w:val="1"/>
        </w:numPr>
      </w:pPr>
      <w:r>
        <w:t>The Taskforce can be the connector for all the good happenings of the community – serve as a common link for members to learn about one another.  This will help out clients as well as help ourselves with resource knowledge.</w:t>
      </w:r>
    </w:p>
    <w:p w14:paraId="5A6AB579" w14:textId="77777777" w:rsidR="00AF6116" w:rsidRDefault="00AF6116" w:rsidP="00AF6116">
      <w:pPr>
        <w:numPr>
          <w:ilvl w:val="0"/>
          <w:numId w:val="1"/>
        </w:numPr>
      </w:pPr>
      <w:r>
        <w:t>Visibility in media – Social Events with a figure head (an actor or someone who will appeal to the community) – branding and recognition.  Name/face on a purpose.  Billboards, other advertisements.</w:t>
      </w:r>
    </w:p>
    <w:p w14:paraId="4AC0C88F" w14:textId="77777777" w:rsidR="00AF6116" w:rsidRDefault="00AF6116" w:rsidP="00AF6116">
      <w:pPr>
        <w:numPr>
          <w:ilvl w:val="0"/>
          <w:numId w:val="1"/>
        </w:numPr>
      </w:pPr>
      <w:r>
        <w:t xml:space="preserve">Education – we do </w:t>
      </w:r>
      <w:proofErr w:type="gramStart"/>
      <w:r>
        <w:t>well, but</w:t>
      </w:r>
      <w:proofErr w:type="gramEnd"/>
      <w:r>
        <w:t xml:space="preserve"> are still challenged by this.  RE: taskforce efforts – many people at the table could not verbalize the mission statement.  Do we need a new mission statement to buy into?  </w:t>
      </w:r>
    </w:p>
    <w:p w14:paraId="60DAFB7A" w14:textId="77777777" w:rsidR="00AF6116" w:rsidRDefault="00AF6116" w:rsidP="00AF6116">
      <w:pPr>
        <w:numPr>
          <w:ilvl w:val="0"/>
          <w:numId w:val="1"/>
        </w:numPr>
      </w:pPr>
      <w:r>
        <w:t xml:space="preserve">Yin/Yang balance of being trauma informed, but still being able to speak out and address the issues.  We need a safe space for a true community collaboration.  </w:t>
      </w:r>
    </w:p>
    <w:p w14:paraId="4BEE55E1" w14:textId="77777777" w:rsidR="00AF6116" w:rsidRDefault="00AF6116" w:rsidP="007F219C">
      <w:pPr>
        <w:numPr>
          <w:ilvl w:val="0"/>
          <w:numId w:val="1"/>
        </w:numPr>
      </w:pPr>
      <w:r>
        <w:t>Groups not represented – groups in the taskforce and external to the taskforce.  (Cultural, professional)</w:t>
      </w:r>
    </w:p>
    <w:p w14:paraId="11617B6C" w14:textId="77777777" w:rsidR="00AF6116" w:rsidRDefault="00AF6116" w:rsidP="007F219C">
      <w:pPr>
        <w:numPr>
          <w:ilvl w:val="0"/>
          <w:numId w:val="1"/>
        </w:numPr>
      </w:pPr>
      <w:r>
        <w:t xml:space="preserve">How do we make ourselves relevant and how do we engage the partners who need to have a part of our </w:t>
      </w:r>
      <w:proofErr w:type="gramStart"/>
      <w:r>
        <w:t>efforts.</w:t>
      </w:r>
      <w:proofErr w:type="gramEnd"/>
      <w:r>
        <w:t xml:space="preserve">  </w:t>
      </w:r>
    </w:p>
    <w:p w14:paraId="63C89A2D" w14:textId="77777777" w:rsidR="00AF6116" w:rsidRDefault="00AF6116" w:rsidP="007F219C">
      <w:pPr>
        <w:numPr>
          <w:ilvl w:val="0"/>
          <w:numId w:val="1"/>
        </w:numPr>
      </w:pPr>
      <w:r>
        <w:t xml:space="preserve">What we call ourselves is not engaging to the community.  DV piece may push people away as well as the force part.  Are we about healthy communities or healthy relationships?  And this relates to the mission/vision statement that needs to be redefined.  </w:t>
      </w:r>
    </w:p>
    <w:p w14:paraId="21CF962D" w14:textId="77777777" w:rsidR="00AF6116" w:rsidRDefault="00AF6116" w:rsidP="007F219C">
      <w:pPr>
        <w:numPr>
          <w:ilvl w:val="0"/>
          <w:numId w:val="1"/>
        </w:numPr>
      </w:pPr>
      <w:r>
        <w:t xml:space="preserve">For DV shelters – do not screen out, but screen in. </w:t>
      </w:r>
    </w:p>
    <w:p w14:paraId="33C1106B" w14:textId="77777777" w:rsidR="00AF6116" w:rsidRDefault="00AF6116" w:rsidP="007F219C">
      <w:pPr>
        <w:numPr>
          <w:ilvl w:val="0"/>
          <w:numId w:val="1"/>
        </w:numPr>
      </w:pPr>
      <w:r>
        <w:t>TRAUMATIZED PEOPLE ASSUME THE WORSE IN SITUATIONS</w:t>
      </w:r>
    </w:p>
    <w:p w14:paraId="109FAB12" w14:textId="77777777" w:rsidR="00AF6116" w:rsidRDefault="00AF6116" w:rsidP="007F219C">
      <w:pPr>
        <w:numPr>
          <w:ilvl w:val="0"/>
          <w:numId w:val="1"/>
        </w:numPr>
      </w:pPr>
      <w:r>
        <w:t>Look for outcomes that reflect the actions we take and render them to be effective.</w:t>
      </w:r>
    </w:p>
    <w:p w14:paraId="58728EFB" w14:textId="77777777" w:rsidR="00AF6116" w:rsidRDefault="00AF6116" w:rsidP="007F219C">
      <w:pPr>
        <w:numPr>
          <w:ilvl w:val="0"/>
          <w:numId w:val="1"/>
        </w:numPr>
      </w:pPr>
      <w:r>
        <w:t xml:space="preserve">Once our house is in order, then look to engage community partners with educational efforts. </w:t>
      </w:r>
    </w:p>
    <w:p w14:paraId="3DE40AED" w14:textId="77777777" w:rsidR="00AF6116" w:rsidRDefault="00AF6116" w:rsidP="007F219C">
      <w:pPr>
        <w:numPr>
          <w:ilvl w:val="0"/>
          <w:numId w:val="1"/>
        </w:numPr>
      </w:pPr>
      <w:r>
        <w:t>Political Advocacy – need for stronger advocacy.</w:t>
      </w:r>
    </w:p>
    <w:p w14:paraId="7083F478" w14:textId="77777777" w:rsidR="00AF6116" w:rsidRDefault="00AF6116" w:rsidP="007F219C">
      <w:pPr>
        <w:numPr>
          <w:ilvl w:val="0"/>
          <w:numId w:val="1"/>
        </w:numPr>
      </w:pPr>
      <w:r>
        <w:t>Recovery Oriented – healthy language, not refer to people as labels</w:t>
      </w:r>
    </w:p>
    <w:p w14:paraId="11469FA6" w14:textId="77777777" w:rsidR="00AF6116" w:rsidRPr="00AF6116" w:rsidRDefault="00AF6116" w:rsidP="007F219C">
      <w:pPr>
        <w:numPr>
          <w:ilvl w:val="0"/>
          <w:numId w:val="1"/>
        </w:numPr>
      </w:pPr>
      <w:r>
        <w:t xml:space="preserve">Respecting and honoring culture and different cultural aspects that are positive within our communities/society.  Highlight cultural positivity and infuse this into the theme of promotion of healthy relationships.  Focus on what’s right and build on this.  </w:t>
      </w:r>
    </w:p>
    <w:sectPr w:rsidR="00AF6116" w:rsidRPr="00AF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ABB"/>
    <w:multiLevelType w:val="hybridMultilevel"/>
    <w:tmpl w:val="D494D6FE"/>
    <w:lvl w:ilvl="0" w:tplc="886C16FC">
      <w:start w:val="1"/>
      <w:numFmt w:val="bullet"/>
      <w:lvlText w:val=""/>
      <w:lvlJc w:val="left"/>
      <w:pPr>
        <w:tabs>
          <w:tab w:val="num" w:pos="720"/>
        </w:tabs>
        <w:ind w:left="720" w:hanging="360"/>
      </w:pPr>
      <w:rPr>
        <w:rFonts w:ascii="Wingdings" w:hAnsi="Wingdings" w:hint="default"/>
      </w:rPr>
    </w:lvl>
    <w:lvl w:ilvl="1" w:tplc="05BA26FA" w:tentative="1">
      <w:start w:val="1"/>
      <w:numFmt w:val="bullet"/>
      <w:lvlText w:val=""/>
      <w:lvlJc w:val="left"/>
      <w:pPr>
        <w:tabs>
          <w:tab w:val="num" w:pos="1440"/>
        </w:tabs>
        <w:ind w:left="1440" w:hanging="360"/>
      </w:pPr>
      <w:rPr>
        <w:rFonts w:ascii="Wingdings" w:hAnsi="Wingdings" w:hint="default"/>
      </w:rPr>
    </w:lvl>
    <w:lvl w:ilvl="2" w:tplc="CB4A766C" w:tentative="1">
      <w:start w:val="1"/>
      <w:numFmt w:val="bullet"/>
      <w:lvlText w:val=""/>
      <w:lvlJc w:val="left"/>
      <w:pPr>
        <w:tabs>
          <w:tab w:val="num" w:pos="2160"/>
        </w:tabs>
        <w:ind w:left="2160" w:hanging="360"/>
      </w:pPr>
      <w:rPr>
        <w:rFonts w:ascii="Wingdings" w:hAnsi="Wingdings" w:hint="default"/>
      </w:rPr>
    </w:lvl>
    <w:lvl w:ilvl="3" w:tplc="860A9F58" w:tentative="1">
      <w:start w:val="1"/>
      <w:numFmt w:val="bullet"/>
      <w:lvlText w:val=""/>
      <w:lvlJc w:val="left"/>
      <w:pPr>
        <w:tabs>
          <w:tab w:val="num" w:pos="2880"/>
        </w:tabs>
        <w:ind w:left="2880" w:hanging="360"/>
      </w:pPr>
      <w:rPr>
        <w:rFonts w:ascii="Wingdings" w:hAnsi="Wingdings" w:hint="default"/>
      </w:rPr>
    </w:lvl>
    <w:lvl w:ilvl="4" w:tplc="9A2294DA" w:tentative="1">
      <w:start w:val="1"/>
      <w:numFmt w:val="bullet"/>
      <w:lvlText w:val=""/>
      <w:lvlJc w:val="left"/>
      <w:pPr>
        <w:tabs>
          <w:tab w:val="num" w:pos="3600"/>
        </w:tabs>
        <w:ind w:left="3600" w:hanging="360"/>
      </w:pPr>
      <w:rPr>
        <w:rFonts w:ascii="Wingdings" w:hAnsi="Wingdings" w:hint="default"/>
      </w:rPr>
    </w:lvl>
    <w:lvl w:ilvl="5" w:tplc="D4160CF2" w:tentative="1">
      <w:start w:val="1"/>
      <w:numFmt w:val="bullet"/>
      <w:lvlText w:val=""/>
      <w:lvlJc w:val="left"/>
      <w:pPr>
        <w:tabs>
          <w:tab w:val="num" w:pos="4320"/>
        </w:tabs>
        <w:ind w:left="4320" w:hanging="360"/>
      </w:pPr>
      <w:rPr>
        <w:rFonts w:ascii="Wingdings" w:hAnsi="Wingdings" w:hint="default"/>
      </w:rPr>
    </w:lvl>
    <w:lvl w:ilvl="6" w:tplc="16B6AA56" w:tentative="1">
      <w:start w:val="1"/>
      <w:numFmt w:val="bullet"/>
      <w:lvlText w:val=""/>
      <w:lvlJc w:val="left"/>
      <w:pPr>
        <w:tabs>
          <w:tab w:val="num" w:pos="5040"/>
        </w:tabs>
        <w:ind w:left="5040" w:hanging="360"/>
      </w:pPr>
      <w:rPr>
        <w:rFonts w:ascii="Wingdings" w:hAnsi="Wingdings" w:hint="default"/>
      </w:rPr>
    </w:lvl>
    <w:lvl w:ilvl="7" w:tplc="53429828" w:tentative="1">
      <w:start w:val="1"/>
      <w:numFmt w:val="bullet"/>
      <w:lvlText w:val=""/>
      <w:lvlJc w:val="left"/>
      <w:pPr>
        <w:tabs>
          <w:tab w:val="num" w:pos="5760"/>
        </w:tabs>
        <w:ind w:left="5760" w:hanging="360"/>
      </w:pPr>
      <w:rPr>
        <w:rFonts w:ascii="Wingdings" w:hAnsi="Wingdings" w:hint="default"/>
      </w:rPr>
    </w:lvl>
    <w:lvl w:ilvl="8" w:tplc="C128A94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16"/>
    <w:rsid w:val="007711EE"/>
    <w:rsid w:val="00A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C22"/>
  <w15:chartTrackingRefBased/>
  <w15:docId w15:val="{2F48E739-5615-4942-B3B4-759A786F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0190">
      <w:bodyDiv w:val="1"/>
      <w:marLeft w:val="0"/>
      <w:marRight w:val="0"/>
      <w:marTop w:val="0"/>
      <w:marBottom w:val="0"/>
      <w:divBdr>
        <w:top w:val="none" w:sz="0" w:space="0" w:color="auto"/>
        <w:left w:val="none" w:sz="0" w:space="0" w:color="auto"/>
        <w:bottom w:val="none" w:sz="0" w:space="0" w:color="auto"/>
        <w:right w:val="none" w:sz="0" w:space="0" w:color="auto"/>
      </w:divBdr>
      <w:divsChild>
        <w:div w:id="1305813806">
          <w:marLeft w:val="446"/>
          <w:marRight w:val="0"/>
          <w:marTop w:val="0"/>
          <w:marBottom w:val="0"/>
          <w:divBdr>
            <w:top w:val="none" w:sz="0" w:space="0" w:color="auto"/>
            <w:left w:val="none" w:sz="0" w:space="0" w:color="auto"/>
            <w:bottom w:val="none" w:sz="0" w:space="0" w:color="auto"/>
            <w:right w:val="none" w:sz="0" w:space="0" w:color="auto"/>
          </w:divBdr>
        </w:div>
        <w:div w:id="1471554328">
          <w:marLeft w:val="446"/>
          <w:marRight w:val="0"/>
          <w:marTop w:val="0"/>
          <w:marBottom w:val="0"/>
          <w:divBdr>
            <w:top w:val="none" w:sz="0" w:space="0" w:color="auto"/>
            <w:left w:val="none" w:sz="0" w:space="0" w:color="auto"/>
            <w:bottom w:val="none" w:sz="0" w:space="0" w:color="auto"/>
            <w:right w:val="none" w:sz="0" w:space="0" w:color="auto"/>
          </w:divBdr>
        </w:div>
        <w:div w:id="1864858666">
          <w:marLeft w:val="446"/>
          <w:marRight w:val="0"/>
          <w:marTop w:val="0"/>
          <w:marBottom w:val="0"/>
          <w:divBdr>
            <w:top w:val="none" w:sz="0" w:space="0" w:color="auto"/>
            <w:left w:val="none" w:sz="0" w:space="0" w:color="auto"/>
            <w:bottom w:val="none" w:sz="0" w:space="0" w:color="auto"/>
            <w:right w:val="none" w:sz="0" w:space="0" w:color="auto"/>
          </w:divBdr>
        </w:div>
        <w:div w:id="7682822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Maria E.</dc:creator>
  <cp:keywords/>
  <dc:description/>
  <cp:lastModifiedBy>Hannah McCall</cp:lastModifiedBy>
  <cp:revision>2</cp:revision>
  <dcterms:created xsi:type="dcterms:W3CDTF">2020-01-14T03:29:00Z</dcterms:created>
  <dcterms:modified xsi:type="dcterms:W3CDTF">2020-01-14T03:29:00Z</dcterms:modified>
</cp:coreProperties>
</file>